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Pr="00F056D2">
        <w:rPr>
          <w:rFonts w:asciiTheme="minorHAnsi" w:hAnsiTheme="minorHAnsi" w:cstheme="minorHAnsi"/>
          <w:b/>
          <w:sz w:val="22"/>
          <w:szCs w:val="22"/>
        </w:rPr>
        <w:t>192</w:t>
      </w:r>
      <w:r w:rsidR="008B4D94">
        <w:rPr>
          <w:rFonts w:asciiTheme="minorHAnsi" w:hAnsiTheme="minorHAnsi" w:cstheme="minorHAnsi"/>
          <w:b/>
          <w:sz w:val="22"/>
          <w:szCs w:val="22"/>
        </w:rPr>
        <w:t>2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F056D2" w:rsidRDefault="000D5644" w:rsidP="00F056D2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56D2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F056D2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F056D2">
        <w:rPr>
          <w:rFonts w:asciiTheme="minorHAnsi" w:hAnsiTheme="minorHAnsi" w:cstheme="minorHAnsi"/>
          <w:sz w:val="22"/>
          <w:szCs w:val="22"/>
        </w:rPr>
        <w:t>„</w:t>
      </w:r>
      <w:r w:rsidR="000B7A57" w:rsidRPr="000B7A57">
        <w:rPr>
          <w:rFonts w:asciiTheme="minorHAnsi" w:hAnsiTheme="minorHAnsi" w:cstheme="minorHAnsi"/>
          <w:b/>
          <w:bCs/>
          <w:sz w:val="22"/>
          <w:szCs w:val="22"/>
        </w:rPr>
        <w:t>Usuwanie szkód powodziowych na</w:t>
      </w:r>
      <w:r w:rsid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="000B7A57" w:rsidRPr="000B7A57">
        <w:rPr>
          <w:rFonts w:asciiTheme="minorHAnsi" w:hAnsiTheme="minorHAnsi" w:cstheme="minorHAnsi"/>
          <w:b/>
          <w:bCs/>
          <w:sz w:val="22"/>
          <w:szCs w:val="22"/>
        </w:rPr>
        <w:t>lewym wale przeciwpowodziowym potoku Ścieklec w km 2+200-2+300 w zakresie zabudowy i</w:t>
      </w:r>
      <w:r w:rsid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="000B7A57" w:rsidRPr="000B7A57">
        <w:rPr>
          <w:rFonts w:asciiTheme="minorHAnsi" w:hAnsiTheme="minorHAnsi" w:cstheme="minorHAnsi"/>
          <w:b/>
          <w:bCs/>
          <w:sz w:val="22"/>
          <w:szCs w:val="22"/>
        </w:rPr>
        <w:t>uszczelnienia wału wraz z ubezpieczeniem</w:t>
      </w:r>
      <w:r w:rsidR="00F056D2" w:rsidRP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0B7A57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DC3848">
        <w:rPr>
          <w:rFonts w:asciiTheme="minorHAnsi" w:hAnsiTheme="minorHAnsi" w:cstheme="minorHAnsi"/>
          <w:color w:val="000000"/>
          <w:sz w:val="22"/>
          <w:szCs w:val="22"/>
        </w:rPr>
        <w:t xml:space="preserve">Henryk Liszka, </w:t>
      </w:r>
      <w:r w:rsidR="00DC3848"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 w:rsidR="00DC38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3848" w:rsidRPr="005048AB">
        <w:rPr>
          <w:rFonts w:asciiTheme="minorHAnsi" w:hAnsiTheme="minorHAnsi" w:cstheme="minorHAnsi"/>
          <w:color w:val="000000"/>
          <w:sz w:val="22"/>
          <w:szCs w:val="22"/>
        </w:rPr>
        <w:t>693-255-254</w:t>
      </w:r>
      <w:r w:rsidR="00DC3848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495319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495319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495319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495319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6B" w:rsidRDefault="0031236B" w:rsidP="000D5644">
      <w:r>
        <w:separator/>
      </w:r>
    </w:p>
  </w:endnote>
  <w:endnote w:type="continuationSeparator" w:id="0">
    <w:p w:rsidR="0031236B" w:rsidRDefault="0031236B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6B" w:rsidRDefault="0031236B" w:rsidP="000D5644">
      <w:r>
        <w:separator/>
      </w:r>
    </w:p>
  </w:footnote>
  <w:footnote w:type="continuationSeparator" w:id="0">
    <w:p w:rsidR="0031236B" w:rsidRDefault="0031236B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B7A57"/>
    <w:rsid w:val="000D091B"/>
    <w:rsid w:val="000D5644"/>
    <w:rsid w:val="000D5D12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1236B"/>
    <w:rsid w:val="00335A57"/>
    <w:rsid w:val="003857DB"/>
    <w:rsid w:val="003865DF"/>
    <w:rsid w:val="003B533C"/>
    <w:rsid w:val="0045208B"/>
    <w:rsid w:val="00464CAB"/>
    <w:rsid w:val="00495319"/>
    <w:rsid w:val="004B75E3"/>
    <w:rsid w:val="004C4D82"/>
    <w:rsid w:val="004F1E85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4D94"/>
    <w:rsid w:val="008B7B04"/>
    <w:rsid w:val="008C02F1"/>
    <w:rsid w:val="008D31B6"/>
    <w:rsid w:val="008D5591"/>
    <w:rsid w:val="00913935"/>
    <w:rsid w:val="00944E6C"/>
    <w:rsid w:val="00985E54"/>
    <w:rsid w:val="0099147F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173AE"/>
    <w:rsid w:val="00C27AB9"/>
    <w:rsid w:val="00C650F5"/>
    <w:rsid w:val="00C93DAA"/>
    <w:rsid w:val="00CA167C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C3848"/>
    <w:rsid w:val="00DD5098"/>
    <w:rsid w:val="00DE149D"/>
    <w:rsid w:val="00E11562"/>
    <w:rsid w:val="00EB3508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16</cp:revision>
  <cp:lastPrinted>2019-10-22T10:03:00Z</cp:lastPrinted>
  <dcterms:created xsi:type="dcterms:W3CDTF">2019-09-24T11:13:00Z</dcterms:created>
  <dcterms:modified xsi:type="dcterms:W3CDTF">2019-10-22T10:15:00Z</dcterms:modified>
</cp:coreProperties>
</file>